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FBD" w:rsidRPr="00066FBD" w:rsidRDefault="00066FBD" w:rsidP="00066FBD">
      <w:pPr>
        <w:spacing w:after="0" w:line="240" w:lineRule="auto"/>
        <w:jc w:val="both"/>
        <w:rPr>
          <w:rFonts w:ascii="Times New Roman" w:eastAsia="Times New Roman" w:hAnsi="Times New Roman" w:cs="Times New Roman"/>
          <w:sz w:val="28"/>
          <w:szCs w:val="28"/>
          <w:lang w:eastAsia="ru-RU"/>
        </w:rPr>
      </w:pPr>
      <w:r w:rsidRPr="00066FBD">
        <w:rPr>
          <w:rFonts w:ascii="Times New Roman" w:eastAsia="Times New Roman" w:hAnsi="Times New Roman" w:cs="Times New Roman"/>
          <w:color w:val="000000"/>
          <w:sz w:val="28"/>
          <w:szCs w:val="28"/>
          <w:lang w:eastAsia="ru-RU"/>
        </w:rPr>
        <w:t>Под системой разработки месторождений полезных ископаемых геотехнологическими методами понимается порядок расположения, проходки и включения в работу добычных и вспомогательных скважин. Система разработки может быть признана рациональной, если она выбрана в результате комплексного анализа показателей возможных вариантов залежи с учетом геологических, гидрогеологических, технологических и экономических факторов.</w:t>
      </w:r>
      <w:r w:rsidRPr="00066FBD">
        <w:rPr>
          <w:rFonts w:ascii="Times New Roman" w:eastAsia="Times New Roman" w:hAnsi="Times New Roman" w:cs="Times New Roman"/>
          <w:color w:val="000000"/>
          <w:sz w:val="28"/>
          <w:szCs w:val="28"/>
          <w:lang w:eastAsia="ru-RU"/>
        </w:rPr>
        <w:br/>
        <w:t>В основу классификации систем разработки при традиционной технологии добычи закладываются самые разнообразные принципы. Так, например, системы подземной разработки рудных месторождений обычно классифицируются по способу управления горным давлением. Этот принцип классификации можно использовать и при некоторых геотехнологических методах, например при скважинной гидродобыче, где можно выделить следующие системы: с открытым очистным пространством (рис. 7.1), которые эффективны при устойчивых покрывающих породах; с обрушением вмещающих пород или их плавной посадкой (рис. 7.2); с закладкой выработанного пространства (рис. 7.3).</w:t>
      </w: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drawing>
          <wp:inline distT="0" distB="0" distL="0" distR="0">
            <wp:extent cx="4283710" cy="1828800"/>
            <wp:effectExtent l="19050" t="0" r="2540" b="0"/>
            <wp:docPr id="1" name="Рисунок 1" descr="Система разработки. Классификация систем разработки">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истема разработки. Классификация систем разработки">
                      <a:hlinkClick r:id="rId4"/>
                    </pic:cNvPr>
                    <pic:cNvPicPr>
                      <a:picLocks noChangeAspect="1" noChangeArrowheads="1"/>
                    </pic:cNvPicPr>
                  </pic:nvPicPr>
                  <pic:blipFill>
                    <a:blip r:embed="rId5" cstate="print"/>
                    <a:srcRect/>
                    <a:stretch>
                      <a:fillRect/>
                    </a:stretch>
                  </pic:blipFill>
                  <pic:spPr bwMode="auto">
                    <a:xfrm>
                      <a:off x="0" y="0"/>
                      <a:ext cx="4283710" cy="1828800"/>
                    </a:xfrm>
                    <a:prstGeom prst="rect">
                      <a:avLst/>
                    </a:prstGeom>
                    <a:noFill/>
                    <a:ln w="9525">
                      <a:noFill/>
                      <a:miter lim="800000"/>
                      <a:headEnd/>
                      <a:tailEnd/>
                    </a:ln>
                  </pic:spPr>
                </pic:pic>
              </a:graphicData>
            </a:graphic>
          </wp:inline>
        </w:drawing>
      </w:r>
    </w:p>
    <w:p w:rsidR="00066FBD" w:rsidRPr="00066FBD" w:rsidRDefault="00066FBD" w:rsidP="00066FBD">
      <w:pPr>
        <w:spacing w:after="0" w:line="240" w:lineRule="auto"/>
        <w:rPr>
          <w:rFonts w:ascii="Times New Roman" w:eastAsia="Times New Roman" w:hAnsi="Times New Roman" w:cs="Times New Roman"/>
          <w:sz w:val="24"/>
          <w:szCs w:val="24"/>
          <w:lang w:eastAsia="ru-RU"/>
        </w:rPr>
      </w:pP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lastRenderedPageBreak/>
        <w:drawing>
          <wp:inline distT="0" distB="0" distL="0" distR="0">
            <wp:extent cx="4283710" cy="3826510"/>
            <wp:effectExtent l="19050" t="0" r="2540" b="0"/>
            <wp:docPr id="2" name="Рисунок 2" descr="Система разработки. Классификация систем разработки">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истема разработки. Классификация систем разработки">
                      <a:hlinkClick r:id="rId6"/>
                    </pic:cNvPr>
                    <pic:cNvPicPr>
                      <a:picLocks noChangeAspect="1" noChangeArrowheads="1"/>
                    </pic:cNvPicPr>
                  </pic:nvPicPr>
                  <pic:blipFill>
                    <a:blip r:embed="rId7" cstate="print"/>
                    <a:srcRect/>
                    <a:stretch>
                      <a:fillRect/>
                    </a:stretch>
                  </pic:blipFill>
                  <pic:spPr bwMode="auto">
                    <a:xfrm>
                      <a:off x="0" y="0"/>
                      <a:ext cx="4283710" cy="3826510"/>
                    </a:xfrm>
                    <a:prstGeom prst="rect">
                      <a:avLst/>
                    </a:prstGeom>
                    <a:noFill/>
                    <a:ln w="9525">
                      <a:noFill/>
                      <a:miter lim="800000"/>
                      <a:headEnd/>
                      <a:tailEnd/>
                    </a:ln>
                  </pic:spPr>
                </pic:pic>
              </a:graphicData>
            </a:graphic>
          </wp:inline>
        </w:drawing>
      </w:r>
    </w:p>
    <w:p w:rsidR="00066FBD" w:rsidRPr="00066FBD" w:rsidRDefault="00066FBD" w:rsidP="00066FBD">
      <w:pPr>
        <w:spacing w:after="0" w:line="240" w:lineRule="auto"/>
        <w:rPr>
          <w:rFonts w:ascii="Times New Roman" w:eastAsia="Times New Roman" w:hAnsi="Times New Roman" w:cs="Times New Roman"/>
          <w:sz w:val="24"/>
          <w:szCs w:val="24"/>
          <w:lang w:eastAsia="ru-RU"/>
        </w:rPr>
      </w:pP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drawing>
          <wp:inline distT="0" distB="0" distL="0" distR="0">
            <wp:extent cx="4283710" cy="3905885"/>
            <wp:effectExtent l="19050" t="0" r="2540" b="0"/>
            <wp:docPr id="3" name="Рисунок 3" descr="Система разработки. Классификация систем разработки">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истема разработки. Классификация систем разработки">
                      <a:hlinkClick r:id="rId8"/>
                    </pic:cNvPr>
                    <pic:cNvPicPr>
                      <a:picLocks noChangeAspect="1" noChangeArrowheads="1"/>
                    </pic:cNvPicPr>
                  </pic:nvPicPr>
                  <pic:blipFill>
                    <a:blip r:embed="rId9" cstate="print"/>
                    <a:srcRect/>
                    <a:stretch>
                      <a:fillRect/>
                    </a:stretch>
                  </pic:blipFill>
                  <pic:spPr bwMode="auto">
                    <a:xfrm>
                      <a:off x="0" y="0"/>
                      <a:ext cx="4283710" cy="3905885"/>
                    </a:xfrm>
                    <a:prstGeom prst="rect">
                      <a:avLst/>
                    </a:prstGeom>
                    <a:noFill/>
                    <a:ln w="9525">
                      <a:noFill/>
                      <a:miter lim="800000"/>
                      <a:headEnd/>
                      <a:tailEnd/>
                    </a:ln>
                  </pic:spPr>
                </pic:pic>
              </a:graphicData>
            </a:graphic>
          </wp:inline>
        </w:drawing>
      </w:r>
    </w:p>
    <w:p w:rsidR="00066FBD" w:rsidRPr="00066FBD" w:rsidRDefault="00066FBD" w:rsidP="00066FBD">
      <w:pPr>
        <w:spacing w:after="0" w:line="240" w:lineRule="auto"/>
        <w:rPr>
          <w:rFonts w:ascii="Times New Roman" w:eastAsia="Times New Roman" w:hAnsi="Times New Roman" w:cs="Times New Roman"/>
          <w:sz w:val="28"/>
          <w:szCs w:val="28"/>
          <w:lang w:eastAsia="ru-RU"/>
        </w:rPr>
      </w:pPr>
      <w:r w:rsidRPr="00066FBD">
        <w:rPr>
          <w:rFonts w:ascii="Times New Roman" w:eastAsia="Times New Roman" w:hAnsi="Times New Roman" w:cs="Times New Roman"/>
          <w:color w:val="000000"/>
          <w:sz w:val="28"/>
          <w:szCs w:val="28"/>
          <w:lang w:eastAsia="ru-RU"/>
        </w:rPr>
        <w:br/>
      </w:r>
      <w:proofErr w:type="gramStart"/>
      <w:r w:rsidRPr="00066FBD">
        <w:rPr>
          <w:rFonts w:ascii="Times New Roman" w:eastAsia="Times New Roman" w:hAnsi="Times New Roman" w:cs="Times New Roman"/>
          <w:color w:val="000000"/>
          <w:sz w:val="28"/>
          <w:szCs w:val="28"/>
          <w:lang w:eastAsia="ru-RU"/>
        </w:rPr>
        <w:t>В основу других классификаций положены способы подготовки залежи к ведению технологического процесса, порядок разработки месторождений, его геологическая характеристика, порядок ведения подготовительных, нарезных и очистных работ, метод воздействия на пласт, схема движения рабочих агентов и продуктивных флюидов и т. д.</w:t>
      </w:r>
      <w:r w:rsidRPr="00066FBD">
        <w:rPr>
          <w:rFonts w:ascii="Times New Roman" w:eastAsia="Times New Roman" w:hAnsi="Times New Roman" w:cs="Times New Roman"/>
          <w:color w:val="000000"/>
          <w:sz w:val="28"/>
          <w:szCs w:val="28"/>
          <w:lang w:eastAsia="ru-RU"/>
        </w:rPr>
        <w:br/>
      </w:r>
      <w:r w:rsidRPr="00066FBD">
        <w:rPr>
          <w:rFonts w:ascii="Times New Roman" w:eastAsia="Times New Roman" w:hAnsi="Times New Roman" w:cs="Times New Roman"/>
          <w:color w:val="000000"/>
          <w:sz w:val="28"/>
          <w:szCs w:val="28"/>
          <w:lang w:eastAsia="ru-RU"/>
        </w:rPr>
        <w:lastRenderedPageBreak/>
        <w:t>По некоторой аналогий с нефтяниками классифицировать системы разработок геотехнологическими методами добычи можно по форме расположения добычных и вспомогательных скважин: линейными рядами</w:t>
      </w:r>
      <w:proofErr w:type="gramEnd"/>
      <w:r w:rsidRPr="00066FBD">
        <w:rPr>
          <w:rFonts w:ascii="Times New Roman" w:eastAsia="Times New Roman" w:hAnsi="Times New Roman" w:cs="Times New Roman"/>
          <w:color w:val="000000"/>
          <w:sz w:val="28"/>
          <w:szCs w:val="28"/>
          <w:lang w:eastAsia="ru-RU"/>
        </w:rPr>
        <w:t xml:space="preserve"> (рис. 7.4) или ячейками.</w:t>
      </w:r>
      <w:r w:rsidRPr="00940252">
        <w:rPr>
          <w:rFonts w:ascii="Times New Roman" w:eastAsia="Times New Roman" w:hAnsi="Times New Roman" w:cs="Times New Roman"/>
          <w:color w:val="000000"/>
          <w:sz w:val="28"/>
          <w:szCs w:val="28"/>
          <w:lang w:eastAsia="ru-RU"/>
        </w:rPr>
        <w:t> </w:t>
      </w: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drawing>
          <wp:inline distT="0" distB="0" distL="0" distR="0">
            <wp:extent cx="4283710" cy="1818640"/>
            <wp:effectExtent l="19050" t="0" r="2540" b="0"/>
            <wp:docPr id="4" name="Рисунок 4" descr="Система разработки. Классификация систем разработки">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истема разработки. Классификация систем разработки">
                      <a:hlinkClick r:id="rId10"/>
                    </pic:cNvPr>
                    <pic:cNvPicPr>
                      <a:picLocks noChangeAspect="1" noChangeArrowheads="1"/>
                    </pic:cNvPicPr>
                  </pic:nvPicPr>
                  <pic:blipFill>
                    <a:blip r:embed="rId11" cstate="print"/>
                    <a:srcRect/>
                    <a:stretch>
                      <a:fillRect/>
                    </a:stretch>
                  </pic:blipFill>
                  <pic:spPr bwMode="auto">
                    <a:xfrm>
                      <a:off x="0" y="0"/>
                      <a:ext cx="4283710" cy="1818640"/>
                    </a:xfrm>
                    <a:prstGeom prst="rect">
                      <a:avLst/>
                    </a:prstGeom>
                    <a:noFill/>
                    <a:ln w="9525">
                      <a:noFill/>
                      <a:miter lim="800000"/>
                      <a:headEnd/>
                      <a:tailEnd/>
                    </a:ln>
                  </pic:spPr>
                </pic:pic>
              </a:graphicData>
            </a:graphic>
          </wp:inline>
        </w:drawing>
      </w:r>
    </w:p>
    <w:p w:rsidR="00066FBD" w:rsidRPr="00066FBD" w:rsidRDefault="00066FBD" w:rsidP="00940252">
      <w:pPr>
        <w:spacing w:after="0" w:line="240" w:lineRule="auto"/>
        <w:jc w:val="both"/>
        <w:rPr>
          <w:rFonts w:ascii="Times New Roman" w:eastAsia="Times New Roman" w:hAnsi="Times New Roman" w:cs="Times New Roman"/>
          <w:sz w:val="28"/>
          <w:szCs w:val="28"/>
          <w:lang w:eastAsia="ru-RU"/>
        </w:rPr>
      </w:pPr>
      <w:r w:rsidRPr="00066FBD">
        <w:rPr>
          <w:rFonts w:ascii="Tahoma" w:eastAsia="Times New Roman" w:hAnsi="Tahoma" w:cs="Tahoma"/>
          <w:color w:val="000000"/>
          <w:sz w:val="19"/>
          <w:szCs w:val="19"/>
          <w:lang w:eastAsia="ru-RU"/>
        </w:rPr>
        <w:br/>
      </w:r>
      <w:proofErr w:type="gramStart"/>
      <w:r w:rsidRPr="00066FBD">
        <w:rPr>
          <w:rFonts w:ascii="Times New Roman" w:eastAsia="Times New Roman" w:hAnsi="Times New Roman" w:cs="Times New Roman"/>
          <w:color w:val="000000"/>
          <w:sz w:val="28"/>
          <w:szCs w:val="28"/>
          <w:lang w:eastAsia="ru-RU"/>
        </w:rPr>
        <w:t>В свою очередь системы разработки рядами могут подразделяться по: форме рядов (замкнутые и незамкнутые), взаимному расположению рядов и скважин (с выдержанным расстоянием между скважинами и с уплотнением в центральной части), степени уплотнения (малая, средняя, большая), темпу ввода скважин в эксплуатацию (одновременный ввод целого блока скважин или постепенный рядами), порядку ввода скважин в эксплуатацию в отношении структуры залежи (по простиранию, падению</w:t>
      </w:r>
      <w:proofErr w:type="gramEnd"/>
      <w:r w:rsidRPr="00066FBD">
        <w:rPr>
          <w:rFonts w:ascii="Times New Roman" w:eastAsia="Times New Roman" w:hAnsi="Times New Roman" w:cs="Times New Roman"/>
          <w:color w:val="000000"/>
          <w:sz w:val="28"/>
          <w:szCs w:val="28"/>
          <w:lang w:eastAsia="ru-RU"/>
        </w:rPr>
        <w:t>, восстанию) и т. д.</w:t>
      </w:r>
      <w:r w:rsidRPr="00066FBD">
        <w:rPr>
          <w:rFonts w:ascii="Times New Roman" w:eastAsia="Times New Roman" w:hAnsi="Times New Roman" w:cs="Times New Roman"/>
          <w:color w:val="000000"/>
          <w:sz w:val="28"/>
          <w:szCs w:val="28"/>
          <w:lang w:eastAsia="ru-RU"/>
        </w:rPr>
        <w:br/>
        <w:t>Не всегда геотехнологические методы осуществимы через скважины. В ряде случаев геотехнологические процессы перевода полезных ископаемых в подвижное состояние используют при традиционных способах разработки месторождений, а также при сочетании их со скважинами.</w:t>
      </w:r>
      <w:r w:rsidRPr="00066FBD">
        <w:rPr>
          <w:rFonts w:ascii="Times New Roman" w:eastAsia="Times New Roman" w:hAnsi="Times New Roman" w:cs="Times New Roman"/>
          <w:color w:val="000000"/>
          <w:sz w:val="28"/>
          <w:szCs w:val="28"/>
          <w:lang w:eastAsia="ru-RU"/>
        </w:rPr>
        <w:br/>
      </w:r>
      <w:proofErr w:type="gramStart"/>
      <w:r w:rsidRPr="00066FBD">
        <w:rPr>
          <w:rFonts w:ascii="Times New Roman" w:eastAsia="Times New Roman" w:hAnsi="Times New Roman" w:cs="Times New Roman"/>
          <w:color w:val="000000"/>
          <w:sz w:val="28"/>
          <w:szCs w:val="28"/>
          <w:lang w:eastAsia="ru-RU"/>
        </w:rPr>
        <w:t>Если классифицировать системы разработки при геотехнологических методах добычи по способу подготовки месторождения (табл. 7.1), то можно выделить:</w:t>
      </w:r>
      <w:r w:rsidRPr="00066FBD">
        <w:rPr>
          <w:rFonts w:ascii="Times New Roman" w:eastAsia="Times New Roman" w:hAnsi="Times New Roman" w:cs="Times New Roman"/>
          <w:color w:val="000000"/>
          <w:sz w:val="28"/>
          <w:szCs w:val="28"/>
          <w:lang w:eastAsia="ru-RU"/>
        </w:rPr>
        <w:br/>
        <w:t>системы разработки месторождений отдельными скважинами-камерами (например, разработка месторождений калийной соли через отдельные скважины;</w:t>
      </w:r>
      <w:r w:rsidRPr="00066FBD">
        <w:rPr>
          <w:rFonts w:ascii="Times New Roman" w:eastAsia="Times New Roman" w:hAnsi="Times New Roman" w:cs="Times New Roman"/>
          <w:color w:val="000000"/>
          <w:sz w:val="28"/>
          <w:szCs w:val="28"/>
          <w:lang w:eastAsia="ru-RU"/>
        </w:rPr>
        <w:br/>
        <w:t>системы разработки месторождений взаимодействующими скважинами (подземная выплавка серы, подземное выщелачивание металлов, сплошная разработка месторождений каменной соли, подземная газификация угля и т. д.);</w:t>
      </w:r>
      <w:proofErr w:type="gramEnd"/>
      <w:r w:rsidRPr="00066FBD">
        <w:rPr>
          <w:rFonts w:ascii="Times New Roman" w:eastAsia="Times New Roman" w:hAnsi="Times New Roman" w:cs="Times New Roman"/>
          <w:color w:val="000000"/>
          <w:sz w:val="28"/>
          <w:szCs w:val="28"/>
          <w:lang w:eastAsia="ru-RU"/>
        </w:rPr>
        <w:br/>
      </w:r>
      <w:proofErr w:type="gramStart"/>
      <w:r w:rsidRPr="00066FBD">
        <w:rPr>
          <w:rFonts w:ascii="Times New Roman" w:eastAsia="Times New Roman" w:hAnsi="Times New Roman" w:cs="Times New Roman"/>
          <w:color w:val="000000"/>
          <w:sz w:val="28"/>
          <w:szCs w:val="28"/>
          <w:lang w:eastAsia="ru-RU"/>
        </w:rPr>
        <w:t>системы разработки месторождений, сочетающие традиционную технологию добычи со скважинной (подземное выщелачивание металлов);</w:t>
      </w:r>
      <w:r w:rsidRPr="00066FBD">
        <w:rPr>
          <w:rFonts w:ascii="Times New Roman" w:eastAsia="Times New Roman" w:hAnsi="Times New Roman" w:cs="Times New Roman"/>
          <w:color w:val="000000"/>
          <w:sz w:val="28"/>
          <w:szCs w:val="28"/>
          <w:lang w:eastAsia="ru-RU"/>
        </w:rPr>
        <w:br/>
        <w:t xml:space="preserve">системы разработки характерные для традиционных методов добычи полезных ископаемых, но использующие геотехнологический принцип перевода полезных ископаемых в подвижное состояние (подземное </w:t>
      </w:r>
      <w:proofErr w:type="spellStart"/>
      <w:r w:rsidRPr="00066FBD">
        <w:rPr>
          <w:rFonts w:ascii="Times New Roman" w:eastAsia="Times New Roman" w:hAnsi="Times New Roman" w:cs="Times New Roman"/>
          <w:color w:val="000000"/>
          <w:sz w:val="28"/>
          <w:szCs w:val="28"/>
          <w:lang w:eastAsia="ru-RU"/>
        </w:rPr>
        <w:t>лугование</w:t>
      </w:r>
      <w:proofErr w:type="spellEnd"/>
      <w:r w:rsidRPr="00066FBD">
        <w:rPr>
          <w:rFonts w:ascii="Times New Roman" w:eastAsia="Times New Roman" w:hAnsi="Times New Roman" w:cs="Times New Roman"/>
          <w:color w:val="000000"/>
          <w:sz w:val="28"/>
          <w:szCs w:val="28"/>
          <w:lang w:eastAsia="ru-RU"/>
        </w:rPr>
        <w:t xml:space="preserve"> при шахтной добыче соли, подземное выщелачивание металлов).</w:t>
      </w:r>
      <w:proofErr w:type="gramEnd"/>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lastRenderedPageBreak/>
        <w:drawing>
          <wp:inline distT="0" distB="0" distL="0" distR="0">
            <wp:extent cx="4283710" cy="3339465"/>
            <wp:effectExtent l="19050" t="0" r="2540" b="0"/>
            <wp:docPr id="5" name="Рисунок 5" descr="Система разработки. Классификация систем разработки">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истема разработки. Классификация систем разработки">
                      <a:hlinkClick r:id="rId12"/>
                    </pic:cNvPr>
                    <pic:cNvPicPr>
                      <a:picLocks noChangeAspect="1" noChangeArrowheads="1"/>
                    </pic:cNvPicPr>
                  </pic:nvPicPr>
                  <pic:blipFill>
                    <a:blip r:embed="rId13" cstate="print"/>
                    <a:srcRect/>
                    <a:stretch>
                      <a:fillRect/>
                    </a:stretch>
                  </pic:blipFill>
                  <pic:spPr bwMode="auto">
                    <a:xfrm>
                      <a:off x="0" y="0"/>
                      <a:ext cx="4283710" cy="3339465"/>
                    </a:xfrm>
                    <a:prstGeom prst="rect">
                      <a:avLst/>
                    </a:prstGeom>
                    <a:noFill/>
                    <a:ln w="9525">
                      <a:noFill/>
                      <a:miter lim="800000"/>
                      <a:headEnd/>
                      <a:tailEnd/>
                    </a:ln>
                  </pic:spPr>
                </pic:pic>
              </a:graphicData>
            </a:graphic>
          </wp:inline>
        </w:drawing>
      </w:r>
    </w:p>
    <w:p w:rsidR="00066FBD" w:rsidRPr="00066FBD" w:rsidRDefault="00066FBD" w:rsidP="00066FBD">
      <w:pPr>
        <w:spacing w:after="0" w:line="240" w:lineRule="auto"/>
        <w:rPr>
          <w:rFonts w:ascii="Times New Roman" w:eastAsia="Times New Roman" w:hAnsi="Times New Roman" w:cs="Times New Roman"/>
          <w:sz w:val="24"/>
          <w:szCs w:val="24"/>
          <w:lang w:eastAsia="ru-RU"/>
        </w:rPr>
      </w:pP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6F9112"/>
          <w:sz w:val="19"/>
          <w:szCs w:val="19"/>
          <w:bdr w:val="none" w:sz="0" w:space="0" w:color="auto" w:frame="1"/>
          <w:lang w:eastAsia="ru-RU"/>
        </w:rPr>
        <w:drawing>
          <wp:inline distT="0" distB="0" distL="0" distR="0">
            <wp:extent cx="2753360" cy="4283710"/>
            <wp:effectExtent l="19050" t="0" r="8890" b="0"/>
            <wp:docPr id="6" name="Рисунок 6" descr="Система разработки. Классификация систем разработки">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истема разработки. Классификация систем разработки">
                      <a:hlinkClick r:id="rId14"/>
                    </pic:cNvPr>
                    <pic:cNvPicPr>
                      <a:picLocks noChangeAspect="1" noChangeArrowheads="1"/>
                    </pic:cNvPicPr>
                  </pic:nvPicPr>
                  <pic:blipFill>
                    <a:blip r:embed="rId15" cstate="print"/>
                    <a:srcRect/>
                    <a:stretch>
                      <a:fillRect/>
                    </a:stretch>
                  </pic:blipFill>
                  <pic:spPr bwMode="auto">
                    <a:xfrm>
                      <a:off x="0" y="0"/>
                      <a:ext cx="2753360" cy="4283710"/>
                    </a:xfrm>
                    <a:prstGeom prst="rect">
                      <a:avLst/>
                    </a:prstGeom>
                    <a:noFill/>
                    <a:ln w="9525">
                      <a:noFill/>
                      <a:miter lim="800000"/>
                      <a:headEnd/>
                      <a:tailEnd/>
                    </a:ln>
                  </pic:spPr>
                </pic:pic>
              </a:graphicData>
            </a:graphic>
          </wp:inline>
        </w:drawing>
      </w:r>
    </w:p>
    <w:p w:rsidR="00066FBD" w:rsidRPr="00066FBD" w:rsidRDefault="00066FBD" w:rsidP="00066FBD">
      <w:pPr>
        <w:spacing w:after="0" w:line="240" w:lineRule="auto"/>
        <w:rPr>
          <w:rFonts w:ascii="Times New Roman" w:eastAsia="Times New Roman" w:hAnsi="Times New Roman" w:cs="Times New Roman"/>
          <w:sz w:val="24"/>
          <w:szCs w:val="24"/>
          <w:lang w:eastAsia="ru-RU"/>
        </w:rPr>
      </w:pPr>
    </w:p>
    <w:p w:rsidR="00066FBD" w:rsidRPr="00066FBD" w:rsidRDefault="00066FBD" w:rsidP="00066FBD">
      <w:pPr>
        <w:spacing w:after="0" w:line="240" w:lineRule="auto"/>
        <w:jc w:val="center"/>
        <w:rPr>
          <w:rFonts w:ascii="Tahoma" w:eastAsia="Times New Roman" w:hAnsi="Tahoma" w:cs="Tahoma"/>
          <w:color w:val="000000"/>
          <w:sz w:val="19"/>
          <w:szCs w:val="19"/>
          <w:lang w:eastAsia="ru-RU"/>
        </w:rPr>
      </w:pPr>
      <w:r>
        <w:rPr>
          <w:rFonts w:ascii="Tahoma" w:eastAsia="Times New Roman" w:hAnsi="Tahoma" w:cs="Tahoma"/>
          <w:noProof/>
          <w:color w:val="363636"/>
          <w:sz w:val="19"/>
          <w:szCs w:val="19"/>
          <w:bdr w:val="none" w:sz="0" w:space="0" w:color="auto" w:frame="1"/>
          <w:lang w:eastAsia="ru-RU"/>
        </w:rPr>
        <w:lastRenderedPageBreak/>
        <w:drawing>
          <wp:inline distT="0" distB="0" distL="0" distR="0">
            <wp:extent cx="2822575" cy="4283710"/>
            <wp:effectExtent l="19050" t="0" r="0" b="0"/>
            <wp:docPr id="7" name="Рисунок 7" descr="Система разработки. Классификация систем разработки">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истема разработки. Классификация систем разработки">
                      <a:hlinkClick r:id="rId16"/>
                    </pic:cNvPr>
                    <pic:cNvPicPr>
                      <a:picLocks noChangeAspect="1" noChangeArrowheads="1"/>
                    </pic:cNvPicPr>
                  </pic:nvPicPr>
                  <pic:blipFill>
                    <a:blip r:embed="rId17" cstate="print"/>
                    <a:srcRect/>
                    <a:stretch>
                      <a:fillRect/>
                    </a:stretch>
                  </pic:blipFill>
                  <pic:spPr bwMode="auto">
                    <a:xfrm>
                      <a:off x="0" y="0"/>
                      <a:ext cx="2822575" cy="4283710"/>
                    </a:xfrm>
                    <a:prstGeom prst="rect">
                      <a:avLst/>
                    </a:prstGeom>
                    <a:noFill/>
                    <a:ln w="9525">
                      <a:noFill/>
                      <a:miter lim="800000"/>
                      <a:headEnd/>
                      <a:tailEnd/>
                    </a:ln>
                  </pic:spPr>
                </pic:pic>
              </a:graphicData>
            </a:graphic>
          </wp:inline>
        </w:drawing>
      </w:r>
    </w:p>
    <w:p w:rsidR="00C919AA" w:rsidRDefault="00C919AA"/>
    <w:sectPr w:rsidR="00C919AA" w:rsidSect="00C919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066FBD"/>
    <w:rsid w:val="00066FBD"/>
    <w:rsid w:val="00940252"/>
    <w:rsid w:val="00C919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9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66FBD"/>
  </w:style>
  <w:style w:type="paragraph" w:styleId="a3">
    <w:name w:val="Balloon Text"/>
    <w:basedOn w:val="a"/>
    <w:link w:val="a4"/>
    <w:uiPriority w:val="99"/>
    <w:semiHidden/>
    <w:unhideWhenUsed/>
    <w:rsid w:val="00066FB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6F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3168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mputerchoppers.ru/uploads/posts/2012-06/1341041151_r7.3.jpg"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computerchoppers.ru/uploads/posts/2012-06/1341041190_t7.1.jpg" TargetMode="External"/><Relationship Id="rId17" Type="http://schemas.openxmlformats.org/officeDocument/2006/relationships/image" Target="media/image7.gif"/><Relationship Id="rId2" Type="http://schemas.openxmlformats.org/officeDocument/2006/relationships/settings" Target="settings.xml"/><Relationship Id="rId16" Type="http://schemas.openxmlformats.org/officeDocument/2006/relationships/hyperlink" Target="http://computerchoppers.ru/uploads/posts/2012-06/1341041667_r7.7-8.gif" TargetMode="External"/><Relationship Id="rId1" Type="http://schemas.openxmlformats.org/officeDocument/2006/relationships/styles" Target="styles.xml"/><Relationship Id="rId6" Type="http://schemas.openxmlformats.org/officeDocument/2006/relationships/hyperlink" Target="http://computerchoppers.ru/uploads/posts/2012-06/1341041120_r7.2.jp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gif"/><Relationship Id="rId10" Type="http://schemas.openxmlformats.org/officeDocument/2006/relationships/hyperlink" Target="http://computerchoppers.ru/uploads/posts/2012-06/1341041322_r7.4.jpg" TargetMode="External"/><Relationship Id="rId19" Type="http://schemas.openxmlformats.org/officeDocument/2006/relationships/theme" Target="theme/theme1.xml"/><Relationship Id="rId4" Type="http://schemas.openxmlformats.org/officeDocument/2006/relationships/hyperlink" Target="http://computerchoppers.ru/uploads/posts/2012-06/1341041101_r7.1.jpg" TargetMode="External"/><Relationship Id="rId9" Type="http://schemas.openxmlformats.org/officeDocument/2006/relationships/image" Target="media/image3.jpeg"/><Relationship Id="rId14" Type="http://schemas.openxmlformats.org/officeDocument/2006/relationships/hyperlink" Target="http://computerchoppers.ru/uploads/posts/2012-06/1341041598_r7.5-6as.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481</Words>
  <Characters>2748</Characters>
  <Application>Microsoft Office Word</Application>
  <DocSecurity>0</DocSecurity>
  <Lines>22</Lines>
  <Paragraphs>6</Paragraphs>
  <ScaleCrop>false</ScaleCrop>
  <Company>Microsoft</Company>
  <LinksUpToDate>false</LinksUpToDate>
  <CharactersWithSpaces>3223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2012-12-25T18:07:00Z</dcterms:created>
  <dcterms:modified xsi:type="dcterms:W3CDTF">2012-12-25T18:18:00Z</dcterms:modified>
</cp:coreProperties>
</file>